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37" w:rsidRPr="003644E9" w:rsidRDefault="003644E9">
      <w:pPr>
        <w:rPr>
          <w:rFonts w:ascii="Comic Sans MS" w:hAnsi="Comic Sans MS"/>
          <w:b/>
          <w:sz w:val="28"/>
        </w:rPr>
      </w:pPr>
      <w:r w:rsidRPr="003644E9">
        <w:rPr>
          <w:rFonts w:ascii="Comic Sans MS" w:hAnsi="Comic Sans MS"/>
          <w:b/>
          <w:sz w:val="28"/>
        </w:rPr>
        <w:t>INSTRUCTIONAL MODEL</w:t>
      </w:r>
    </w:p>
    <w:p w:rsidR="00361337" w:rsidRPr="003644E9" w:rsidRDefault="00361337">
      <w:pPr>
        <w:rPr>
          <w:rFonts w:ascii="Comic Sans MS" w:hAnsi="Comic Sans MS"/>
          <w:sz w:val="28"/>
        </w:rPr>
      </w:pPr>
    </w:p>
    <w:p w:rsidR="00361337" w:rsidRPr="003644E9" w:rsidRDefault="00361337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Protocol for School Discussions</w:t>
      </w:r>
    </w:p>
    <w:p w:rsidR="00361337" w:rsidRPr="003644E9" w:rsidRDefault="003644E9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  <w:r>
        <w:rPr>
          <w:rFonts w:ascii="Comic Sans MS" w:hAnsi="Comic Sans MS" w:cs="Segoe Print"/>
          <w:sz w:val="28"/>
        </w:rPr>
        <w:t xml:space="preserve">1.  </w:t>
      </w:r>
      <w:r w:rsidR="00361337" w:rsidRPr="003644E9">
        <w:rPr>
          <w:rFonts w:ascii="Comic Sans MS" w:hAnsi="Comic Sans MS" w:cs="Segoe Print"/>
          <w:i/>
          <w:sz w:val="28"/>
        </w:rPr>
        <w:t xml:space="preserve">Rationale – </w:t>
      </w:r>
    </w:p>
    <w:p w:rsidR="00361337" w:rsidRPr="003644E9" w:rsidRDefault="00361337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  <w:r w:rsidRPr="003644E9">
        <w:rPr>
          <w:rFonts w:ascii="Comic Sans MS" w:hAnsi="Comic Sans MS" w:cs="Segoe Print"/>
          <w:i/>
          <w:sz w:val="28"/>
        </w:rPr>
        <w:t>Why do we need an IM?</w:t>
      </w:r>
    </w:p>
    <w:p w:rsidR="00361337" w:rsidRPr="003644E9" w:rsidRDefault="00361337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  <w:r w:rsidRPr="003644E9">
        <w:rPr>
          <w:rFonts w:ascii="Comic Sans MS" w:hAnsi="Comic Sans MS" w:cs="Segoe Print"/>
          <w:i/>
          <w:sz w:val="28"/>
        </w:rPr>
        <w:t>Why do we need common language?</w:t>
      </w:r>
    </w:p>
    <w:p w:rsidR="00361337" w:rsidRPr="003644E9" w:rsidRDefault="00361337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  <w:r w:rsidRPr="003644E9">
        <w:rPr>
          <w:rFonts w:ascii="Comic Sans MS" w:hAnsi="Comic Sans MS" w:cs="Segoe Print"/>
          <w:i/>
          <w:sz w:val="28"/>
        </w:rPr>
        <w:t>Why do we need to improve instruction?</w:t>
      </w:r>
    </w:p>
    <w:p w:rsidR="00361337" w:rsidRPr="003644E9" w:rsidRDefault="00361337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i/>
          <w:sz w:val="28"/>
        </w:rPr>
      </w:pPr>
      <w:r w:rsidRPr="003644E9">
        <w:rPr>
          <w:rFonts w:ascii="Comic Sans MS" w:hAnsi="Comic Sans MS" w:cs="Segoe Print"/>
          <w:i/>
          <w:sz w:val="28"/>
        </w:rPr>
        <w:t>TO IMPROVE STUDENT LEARNING</w:t>
      </w:r>
    </w:p>
    <w:p w:rsidR="003644E9" w:rsidRDefault="003644E9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  <w:r>
        <w:rPr>
          <w:rFonts w:ascii="Comic Sans MS" w:hAnsi="Comic Sans MS" w:cs="Segoe Print"/>
          <w:sz w:val="28"/>
        </w:rPr>
        <w:t xml:space="preserve">2.  </w:t>
      </w:r>
      <w:r w:rsidR="00361337" w:rsidRPr="003644E9">
        <w:rPr>
          <w:rFonts w:ascii="Comic Sans MS" w:hAnsi="Comic Sans MS" w:cs="Segoe Print"/>
          <w:sz w:val="28"/>
        </w:rPr>
        <w:t xml:space="preserve">Show an instructional video </w:t>
      </w:r>
      <w:r w:rsidR="001D52D1" w:rsidRPr="003644E9">
        <w:rPr>
          <w:rFonts w:ascii="Comic Sans MS" w:hAnsi="Comic Sans MS" w:cs="Segoe Print"/>
          <w:sz w:val="28"/>
        </w:rPr>
        <w:t xml:space="preserve">that is a good example.  </w:t>
      </w:r>
    </w:p>
    <w:p w:rsidR="00361337" w:rsidRPr="003644E9" w:rsidRDefault="003644E9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  <w:r>
        <w:rPr>
          <w:rFonts w:ascii="Comic Sans MS" w:hAnsi="Comic Sans MS" w:cs="Segoe Print"/>
          <w:sz w:val="28"/>
        </w:rPr>
        <w:t xml:space="preserve">3.  </w:t>
      </w:r>
      <w:r w:rsidR="001D52D1" w:rsidRPr="003644E9">
        <w:rPr>
          <w:rFonts w:ascii="Comic Sans MS" w:hAnsi="Comic Sans MS" w:cs="Segoe Print"/>
          <w:sz w:val="28"/>
        </w:rPr>
        <w:t xml:space="preserve">Brainstorm with teachers what good and bad teaching practices were viewed.  Take the bad ones and turn into the positive and these become the principles.  </w:t>
      </w:r>
    </w:p>
    <w:p w:rsidR="001D52D1" w:rsidRPr="003644E9" w:rsidRDefault="003644E9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  <w:r>
        <w:rPr>
          <w:rFonts w:ascii="Comic Sans MS" w:hAnsi="Comic Sans MS" w:cs="Segoe Print"/>
          <w:sz w:val="28"/>
        </w:rPr>
        <w:t xml:space="preserve">4.  </w:t>
      </w:r>
      <w:r w:rsidR="001D52D1" w:rsidRPr="003644E9">
        <w:rPr>
          <w:rFonts w:ascii="Comic Sans MS" w:hAnsi="Comic Sans MS" w:cs="Segoe Print"/>
          <w:sz w:val="28"/>
        </w:rPr>
        <w:t>Have teachers think about the most powerful learning experience they have encountered and write down what made it so powerful.  Learning occurs best when….</w:t>
      </w:r>
    </w:p>
    <w:p w:rsidR="001D52D1" w:rsidRPr="003644E9" w:rsidRDefault="003644E9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  <w:r>
        <w:rPr>
          <w:rFonts w:ascii="Comic Sans MS" w:hAnsi="Comic Sans MS" w:cs="Segoe Print"/>
          <w:sz w:val="28"/>
        </w:rPr>
        <w:t xml:space="preserve">5.  </w:t>
      </w:r>
      <w:r w:rsidR="001D52D1" w:rsidRPr="003644E9">
        <w:rPr>
          <w:rFonts w:ascii="Comic Sans MS" w:hAnsi="Comic Sans MS" w:cs="Segoe Print"/>
          <w:sz w:val="28"/>
        </w:rPr>
        <w:t xml:space="preserve">Give teachers some headings:  learning environment, preparation, strategies, formative assessments, etc.  </w:t>
      </w:r>
      <w:r w:rsidR="001D52D1" w:rsidRPr="003644E9">
        <w:rPr>
          <w:rFonts w:ascii="Comic Sans MS" w:hAnsi="Comic Sans MS" w:cs="Segoe Print"/>
          <w:b/>
          <w:sz w:val="28"/>
        </w:rPr>
        <w:t>OR</w:t>
      </w:r>
      <w:r w:rsidR="001D52D1" w:rsidRPr="003644E9">
        <w:rPr>
          <w:rFonts w:ascii="Comic Sans MS" w:hAnsi="Comic Sans MS" w:cs="Segoe Print"/>
          <w:sz w:val="28"/>
        </w:rPr>
        <w:t xml:space="preserve"> take the list and put them into categories.  </w:t>
      </w:r>
      <w:r w:rsidR="001D52D1" w:rsidRPr="003644E9">
        <w:rPr>
          <w:rFonts w:ascii="Comic Sans MS" w:hAnsi="Comic Sans MS" w:cs="Segoe Print"/>
          <w:b/>
          <w:sz w:val="28"/>
        </w:rPr>
        <w:t>OR</w:t>
      </w:r>
      <w:r w:rsidR="001D52D1" w:rsidRPr="003644E9">
        <w:rPr>
          <w:rFonts w:ascii="Comic Sans MS" w:hAnsi="Comic Sans MS" w:cs="Segoe Print"/>
          <w:sz w:val="28"/>
        </w:rPr>
        <w:t xml:space="preserve"> put them into the NE Framework.</w:t>
      </w:r>
    </w:p>
    <w:p w:rsidR="001D52D1" w:rsidRPr="003644E9" w:rsidRDefault="001D52D1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</w:rPr>
      </w:pPr>
    </w:p>
    <w:p w:rsidR="001D52D1" w:rsidRPr="003644E9" w:rsidRDefault="001D52D1" w:rsidP="00361337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Segoe Print"/>
          <w:sz w:val="28"/>
          <w:lang w:val="en"/>
        </w:rPr>
      </w:pPr>
    </w:p>
    <w:p w:rsidR="00361337" w:rsidRPr="003644E9" w:rsidRDefault="00361337">
      <w:pPr>
        <w:rPr>
          <w:rFonts w:ascii="Comic Sans MS" w:hAnsi="Comic Sans MS"/>
          <w:sz w:val="28"/>
        </w:rPr>
      </w:pPr>
    </w:p>
    <w:p w:rsidR="00361337" w:rsidRPr="003644E9" w:rsidRDefault="00361337">
      <w:pPr>
        <w:rPr>
          <w:rFonts w:ascii="Comic Sans MS" w:hAnsi="Comic Sans MS"/>
          <w:sz w:val="28"/>
        </w:rPr>
      </w:pPr>
    </w:p>
    <w:p w:rsidR="00361337" w:rsidRPr="003644E9" w:rsidRDefault="00361337">
      <w:pPr>
        <w:rPr>
          <w:rFonts w:ascii="Comic Sans MS" w:hAnsi="Comic Sans MS"/>
          <w:sz w:val="28"/>
        </w:rPr>
      </w:pPr>
    </w:p>
    <w:p w:rsidR="00361337" w:rsidRPr="003644E9" w:rsidRDefault="00361337">
      <w:pPr>
        <w:rPr>
          <w:rFonts w:ascii="Comic Sans MS" w:hAnsi="Comic Sans MS"/>
          <w:sz w:val="28"/>
        </w:rPr>
      </w:pPr>
    </w:p>
    <w:p w:rsidR="00361337" w:rsidRPr="003644E9" w:rsidRDefault="00361337">
      <w:pPr>
        <w:rPr>
          <w:rFonts w:ascii="Comic Sans MS" w:hAnsi="Comic Sans MS"/>
          <w:sz w:val="28"/>
        </w:rPr>
      </w:pPr>
    </w:p>
    <w:p w:rsidR="00361337" w:rsidRPr="003644E9" w:rsidRDefault="00361337">
      <w:pPr>
        <w:rPr>
          <w:rFonts w:ascii="Comic Sans MS" w:hAnsi="Comic Sans MS"/>
          <w:sz w:val="28"/>
        </w:rPr>
      </w:pPr>
    </w:p>
    <w:p w:rsidR="00361337" w:rsidRPr="003644E9" w:rsidRDefault="00361337">
      <w:pPr>
        <w:rPr>
          <w:rFonts w:ascii="Comic Sans MS" w:hAnsi="Comic Sans MS"/>
          <w:sz w:val="28"/>
        </w:rPr>
      </w:pPr>
    </w:p>
    <w:p w:rsidR="00361337" w:rsidRPr="003644E9" w:rsidRDefault="00361337">
      <w:pPr>
        <w:rPr>
          <w:rFonts w:ascii="Comic Sans MS" w:hAnsi="Comic Sans MS"/>
          <w:sz w:val="28"/>
        </w:rPr>
      </w:pPr>
    </w:p>
    <w:p w:rsidR="00361337" w:rsidRPr="003644E9" w:rsidRDefault="00361337">
      <w:pPr>
        <w:rPr>
          <w:rFonts w:ascii="Comic Sans MS" w:hAnsi="Comic Sans MS"/>
          <w:b/>
          <w:sz w:val="28"/>
        </w:rPr>
      </w:pPr>
    </w:p>
    <w:p w:rsidR="00B973CF" w:rsidRPr="003644E9" w:rsidRDefault="003F4CD9">
      <w:pPr>
        <w:rPr>
          <w:rFonts w:ascii="Comic Sans MS" w:hAnsi="Comic Sans MS"/>
          <w:b/>
          <w:sz w:val="28"/>
        </w:rPr>
      </w:pPr>
      <w:r w:rsidRPr="003644E9">
        <w:rPr>
          <w:rFonts w:ascii="Comic Sans MS" w:hAnsi="Comic Sans MS"/>
          <w:b/>
          <w:sz w:val="28"/>
        </w:rPr>
        <w:t>Explicit Instruction – Archer &amp; Hughes</w:t>
      </w:r>
    </w:p>
    <w:p w:rsidR="003F4CD9" w:rsidRPr="003644E9" w:rsidRDefault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16 Elements of Explicit Instruction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Focus instruction on critical content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Sequence skills logically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Break down complex skills and strategies into smaller instructional units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design organized and focused lessons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Begin lessons with a clear statement of the lesson’s goals and your expectations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review prior skills and knowledge before beginning instruction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provide step-by-step demonstrations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use clear and concise language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provide an adequate range of examples and non-examples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provide guided and supported practice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require frequent responses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monitor student performance closely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provide immediate affirmative and corrective feedback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deliver the lesson at a brisk pace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help students organize knowledge</w:t>
      </w:r>
    </w:p>
    <w:p w:rsidR="003F4CD9" w:rsidRPr="003644E9" w:rsidRDefault="003F4CD9" w:rsidP="003644E9">
      <w:pPr>
        <w:pStyle w:val="ListParagraph"/>
        <w:numPr>
          <w:ilvl w:val="0"/>
          <w:numId w:val="2"/>
        </w:numPr>
        <w:ind w:left="1080" w:hanging="720"/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provide distributed and cumulative practice</w:t>
      </w:r>
    </w:p>
    <w:p w:rsidR="003F4CD9" w:rsidRPr="003644E9" w:rsidRDefault="003F4CD9" w:rsidP="003F4CD9">
      <w:pPr>
        <w:rPr>
          <w:rFonts w:ascii="Comic Sans MS" w:hAnsi="Comic Sans MS"/>
          <w:sz w:val="28"/>
        </w:rPr>
      </w:pPr>
    </w:p>
    <w:p w:rsidR="003F4CD9" w:rsidRPr="003644E9" w:rsidRDefault="003F4CD9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Design, delivery, organizing for instruction, providing appropriate practice opportunities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C87A07" w:rsidRPr="003644E9" w:rsidRDefault="00C87A07" w:rsidP="003F4CD9">
      <w:pPr>
        <w:rPr>
          <w:rFonts w:ascii="Comic Sans MS" w:hAnsi="Comic Sans MS"/>
          <w:b/>
          <w:sz w:val="28"/>
        </w:rPr>
      </w:pPr>
      <w:r w:rsidRPr="003644E9">
        <w:rPr>
          <w:rFonts w:ascii="Comic Sans MS" w:hAnsi="Comic Sans MS"/>
          <w:b/>
          <w:sz w:val="28"/>
        </w:rPr>
        <w:t xml:space="preserve">Mitch </w:t>
      </w:r>
      <w:proofErr w:type="spellStart"/>
      <w:r w:rsidRPr="003644E9">
        <w:rPr>
          <w:rFonts w:ascii="Comic Sans MS" w:hAnsi="Comic Sans MS"/>
          <w:b/>
          <w:sz w:val="28"/>
        </w:rPr>
        <w:t>Kubicek</w:t>
      </w:r>
      <w:proofErr w:type="spellEnd"/>
      <w:r w:rsidRPr="003644E9">
        <w:rPr>
          <w:rFonts w:ascii="Comic Sans MS" w:hAnsi="Comic Sans MS"/>
          <w:b/>
          <w:sz w:val="28"/>
        </w:rPr>
        <w:t xml:space="preserve"> – Dorchester Principles of Learning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Relationships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Routines and Rules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High Expectations for All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Introducing Content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Practicing Content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Learning Objectives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Questioning strategies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Monitoring progress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Engaging Students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C87A07" w:rsidRPr="00C87A07" w:rsidRDefault="003644E9" w:rsidP="003644E9">
      <w:pPr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lastRenderedPageBreak/>
        <w:t xml:space="preserve">NE Framework - </w:t>
      </w:r>
      <w:r w:rsidR="00C87A07" w:rsidRPr="00C87A07">
        <w:rPr>
          <w:rFonts w:ascii="Comic Sans MS" w:eastAsia="Times New Roman" w:hAnsi="Comic Sans MS" w:cs="Arial"/>
          <w:b/>
          <w:sz w:val="28"/>
          <w:szCs w:val="70"/>
        </w:rPr>
        <w:t>Nebraska 7 Effective Practices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–Foundational Knowledge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–Planning and Preparation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–Learning Environment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–Instructional Strategies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–Assessment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–Professionalism</w:t>
      </w: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C87A07">
        <w:rPr>
          <w:rFonts w:ascii="Comic Sans MS" w:eastAsia="Times New Roman" w:hAnsi="Comic Sans MS" w:cs="Arial"/>
          <w:sz w:val="28"/>
          <w:szCs w:val="65"/>
        </w:rPr>
        <w:t>–Vision and Collaboration</w:t>
      </w: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proofErr w:type="spellStart"/>
      <w:r w:rsidRPr="003644E9">
        <w:rPr>
          <w:rFonts w:ascii="Comic Sans MS" w:eastAsia="Times New Roman" w:hAnsi="Comic Sans MS" w:cs="Arial"/>
          <w:sz w:val="28"/>
          <w:szCs w:val="65"/>
        </w:rPr>
        <w:t>Marzano’s</w:t>
      </w:r>
      <w:proofErr w:type="spellEnd"/>
      <w:r w:rsidRPr="003644E9">
        <w:rPr>
          <w:rFonts w:ascii="Comic Sans MS" w:eastAsia="Times New Roman" w:hAnsi="Comic Sans MS" w:cs="Arial"/>
          <w:sz w:val="28"/>
          <w:szCs w:val="65"/>
        </w:rPr>
        <w:t xml:space="preserve"> Art and Science of Teaching Framework</w:t>
      </w:r>
      <w:r w:rsidR="00655474" w:rsidRPr="003644E9">
        <w:rPr>
          <w:rFonts w:ascii="Comic Sans MS" w:eastAsia="Times New Roman" w:hAnsi="Comic Sans MS" w:cs="Arial"/>
          <w:sz w:val="28"/>
          <w:szCs w:val="65"/>
        </w:rPr>
        <w:t xml:space="preserve"> – 60 elements total</w:t>
      </w:r>
    </w:p>
    <w:p w:rsidR="00655474" w:rsidRPr="003644E9" w:rsidRDefault="00655474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3644E9">
        <w:rPr>
          <w:rFonts w:ascii="Comic Sans MS" w:eastAsia="Times New Roman" w:hAnsi="Comic Sans MS" w:cs="Arial"/>
          <w:sz w:val="28"/>
          <w:szCs w:val="65"/>
        </w:rPr>
        <w:t>Domain 1 – Classroom strategies and Behaviors</w:t>
      </w: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3644E9">
        <w:rPr>
          <w:rFonts w:ascii="Comic Sans MS" w:eastAsia="Times New Roman" w:hAnsi="Comic Sans MS" w:cs="Arial"/>
          <w:sz w:val="28"/>
          <w:szCs w:val="65"/>
        </w:rPr>
        <w:t>Domain 2 – Planning and preparing</w:t>
      </w:r>
    </w:p>
    <w:p w:rsidR="00C87A07" w:rsidRPr="003644E9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3644E9">
        <w:rPr>
          <w:rFonts w:ascii="Comic Sans MS" w:eastAsia="Times New Roman" w:hAnsi="Comic Sans MS" w:cs="Arial"/>
          <w:sz w:val="28"/>
          <w:szCs w:val="65"/>
        </w:rPr>
        <w:t>Domain 3 – Reflecting on Teaching</w:t>
      </w:r>
    </w:p>
    <w:p w:rsidR="00C87A07" w:rsidRPr="00C87A07" w:rsidRDefault="00C87A07" w:rsidP="00C87A07">
      <w:pPr>
        <w:spacing w:after="0" w:line="240" w:lineRule="auto"/>
        <w:rPr>
          <w:rFonts w:ascii="Comic Sans MS" w:eastAsia="Times New Roman" w:hAnsi="Comic Sans MS" w:cs="Arial"/>
          <w:sz w:val="28"/>
          <w:szCs w:val="65"/>
        </w:rPr>
      </w:pPr>
      <w:r w:rsidRPr="003644E9">
        <w:rPr>
          <w:rFonts w:ascii="Comic Sans MS" w:eastAsia="Times New Roman" w:hAnsi="Comic Sans MS" w:cs="Arial"/>
          <w:sz w:val="28"/>
          <w:szCs w:val="65"/>
        </w:rPr>
        <w:t>Domain 4 – Collegiality and Professionalism</w:t>
      </w: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EE3C30" w:rsidRPr="003644E9" w:rsidRDefault="00EE3C30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lastRenderedPageBreak/>
        <w:t xml:space="preserve">Danielson’s Instructional </w:t>
      </w:r>
      <w:r w:rsidR="003644E9">
        <w:rPr>
          <w:rFonts w:ascii="Comic Sans MS" w:hAnsi="Comic Sans MS"/>
          <w:sz w:val="28"/>
        </w:rPr>
        <w:t>Framework for Teaching</w:t>
      </w:r>
    </w:p>
    <w:p w:rsidR="00EE3C30" w:rsidRPr="003644E9" w:rsidRDefault="00EE3C30" w:rsidP="003F4CD9">
      <w:pPr>
        <w:rPr>
          <w:rFonts w:ascii="Comic Sans MS" w:hAnsi="Comic Sans MS"/>
          <w:sz w:val="28"/>
        </w:rPr>
      </w:pPr>
      <w:r w:rsidRPr="003644E9">
        <w:rPr>
          <w:rFonts w:ascii="Comic Sans MS" w:hAnsi="Comic Sans MS"/>
          <w:sz w:val="28"/>
        </w:rPr>
        <w:t>The Framework for Teaching is a research-based set of components of instruction, aligned to the INTASC standards, and grounded in a constructivist view of learning and teaching. The complex activity of teaching is divided into 22 components (and 76 smaller elements) clustered into four domains of teaching responsibility:</w:t>
      </w:r>
    </w:p>
    <w:tbl>
      <w:tblPr>
        <w:tblW w:w="4500" w:type="pct"/>
        <w:tblCellSpacing w:w="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268"/>
        <w:gridCol w:w="4269"/>
      </w:tblGrid>
      <w:tr w:rsidR="00EE3C30" w:rsidRPr="00EE3C30" w:rsidTr="00EE3C30">
        <w:trPr>
          <w:tblCellSpacing w:w="12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C30" w:rsidRPr="00EE3C30" w:rsidRDefault="00EE3C30" w:rsidP="00EE3C30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0"/>
              </w:rPr>
            </w:pPr>
            <w:r w:rsidRPr="00EE3C30">
              <w:rPr>
                <w:rFonts w:ascii="Comic Sans MS" w:eastAsia="Times New Roman" w:hAnsi="Comic Sans MS" w:cs="Times New Roman"/>
                <w:b/>
                <w:bCs/>
                <w:sz w:val="24"/>
                <w:szCs w:val="20"/>
              </w:rPr>
              <w:t>Domain 1: Planning and Preparation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1a Demonstrating Knowledge of Content and Pedagogy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1b Demonstrating Knowledge of Students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1c Setting Instructional Outcomes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1d Demonstrating Knowledge of Resources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1e Designing Coherent Instruction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 xml:space="preserve">1f Designing </w:t>
            </w:r>
            <w:hyperlink r:id="rId6" w:history="1">
              <w:r w:rsidRPr="003644E9">
                <w:rPr>
                  <w:rFonts w:ascii="Comic Sans MS" w:eastAsia="Times New Roman" w:hAnsi="Comic Sans MS" w:cs="Times New Roman"/>
                  <w:color w:val="0000FF"/>
                  <w:sz w:val="24"/>
                  <w:szCs w:val="20"/>
                  <w:u w:val="single"/>
                </w:rPr>
                <w:t>Student</w:t>
              </w:r>
            </w:hyperlink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t xml:space="preserve"> Assessments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C30" w:rsidRPr="00EE3C30" w:rsidRDefault="00EE3C30" w:rsidP="00EE3C30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0"/>
              </w:rPr>
            </w:pPr>
            <w:r w:rsidRPr="00EE3C30">
              <w:rPr>
                <w:rFonts w:ascii="Comic Sans MS" w:eastAsia="Times New Roman" w:hAnsi="Comic Sans MS" w:cs="Times New Roman"/>
                <w:b/>
                <w:bCs/>
                <w:sz w:val="24"/>
                <w:szCs w:val="20"/>
              </w:rPr>
              <w:t>Domain 2: Classroom Environment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2a Creating an Environment of Respect and Rapport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2b Establishing a Culture for Learning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2c Managing Classroom Procedures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2d Managing Student Behavior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2e Organizing Physical Space</w:t>
            </w:r>
          </w:p>
        </w:tc>
      </w:tr>
      <w:tr w:rsidR="00EE3C30" w:rsidRPr="00EE3C30" w:rsidTr="00EE3C30">
        <w:trPr>
          <w:tblCellSpacing w:w="12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C30" w:rsidRPr="00EE3C30" w:rsidRDefault="00EE3C30" w:rsidP="00EE3C30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0"/>
              </w:rPr>
            </w:pPr>
            <w:r w:rsidRPr="00EE3C30">
              <w:rPr>
                <w:rFonts w:ascii="Comic Sans MS" w:eastAsia="Times New Roman" w:hAnsi="Comic Sans MS" w:cs="Times New Roman"/>
                <w:b/>
                <w:bCs/>
                <w:sz w:val="24"/>
                <w:szCs w:val="20"/>
              </w:rPr>
              <w:t>Domain 4: Professional Responsibilities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4a Reflecting on Teaching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4b Maintaining Accurate Records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4c Communicating with Families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4d Participating in a Professional Community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4e Growing and Developing Professionally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4f Showing Professionalism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C30" w:rsidRPr="00EE3C30" w:rsidRDefault="00EE3C30" w:rsidP="00EE3C30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0"/>
              </w:rPr>
            </w:pPr>
            <w:r w:rsidRPr="00EE3C30">
              <w:rPr>
                <w:rFonts w:ascii="Comic Sans MS" w:eastAsia="Times New Roman" w:hAnsi="Comic Sans MS" w:cs="Times New Roman"/>
                <w:b/>
                <w:bCs/>
                <w:sz w:val="24"/>
                <w:szCs w:val="20"/>
              </w:rPr>
              <w:t>Domain 3: Instruction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3a Communicating With Students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3b Using Questioning and Discussion Techniques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3c Engaging Students in Learning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3d Using Assessment in Instruction</w:t>
            </w:r>
            <w:r w:rsidRPr="00EE3C30">
              <w:rPr>
                <w:rFonts w:ascii="Comic Sans MS" w:eastAsia="Times New Roman" w:hAnsi="Comic Sans MS" w:cs="Times New Roman"/>
                <w:sz w:val="24"/>
                <w:szCs w:val="20"/>
              </w:rPr>
              <w:br/>
              <w:t>3e Demonstrating Flexibility and Responsiveness</w:t>
            </w:r>
          </w:p>
        </w:tc>
      </w:tr>
    </w:tbl>
    <w:p w:rsidR="00EE3C30" w:rsidRPr="003644E9" w:rsidRDefault="00EE3C30" w:rsidP="003F4CD9">
      <w:pPr>
        <w:rPr>
          <w:rFonts w:ascii="Comic Sans MS" w:hAnsi="Comic Sans MS"/>
          <w:sz w:val="28"/>
        </w:rPr>
      </w:pPr>
    </w:p>
    <w:p w:rsidR="00C87A07" w:rsidRPr="003644E9" w:rsidRDefault="00C87A07" w:rsidP="003F4CD9">
      <w:pPr>
        <w:rPr>
          <w:rFonts w:ascii="Comic Sans MS" w:hAnsi="Comic Sans MS"/>
          <w:sz w:val="28"/>
        </w:rPr>
      </w:pPr>
    </w:p>
    <w:p w:rsidR="003F4CD9" w:rsidRDefault="003F4CD9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lastRenderedPageBreak/>
        <w:t>Thoughtful Classroom Teacher Effectiveness Framework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39"/>
        <w:gridCol w:w="2941"/>
        <w:gridCol w:w="2976"/>
      </w:tblGrid>
      <w:tr w:rsidR="00DA7786" w:rsidTr="00DA7786">
        <w:tc>
          <w:tcPr>
            <w:tcW w:w="3192" w:type="dxa"/>
            <w:shd w:val="clear" w:color="auto" w:fill="D99594" w:themeFill="accent2" w:themeFillTint="99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Organizing Rules and Procedures</w:t>
            </w:r>
          </w:p>
        </w:tc>
        <w:tc>
          <w:tcPr>
            <w:tcW w:w="3192" w:type="dxa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Preparation for New Learning</w:t>
            </w:r>
          </w:p>
        </w:tc>
        <w:tc>
          <w:tcPr>
            <w:tcW w:w="3192" w:type="dxa"/>
            <w:shd w:val="clear" w:color="auto" w:fill="D99594" w:themeFill="accent2" w:themeFillTint="99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Positive Relationships</w:t>
            </w:r>
          </w:p>
        </w:tc>
      </w:tr>
      <w:tr w:rsidR="00DA7786" w:rsidTr="00DA7786">
        <w:tc>
          <w:tcPr>
            <w:tcW w:w="3192" w:type="dxa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Deepening and Reinforcing Learning</w:t>
            </w:r>
          </w:p>
        </w:tc>
        <w:tc>
          <w:tcPr>
            <w:tcW w:w="3192" w:type="dxa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Presenting New Learning</w:t>
            </w:r>
          </w:p>
        </w:tc>
        <w:tc>
          <w:tcPr>
            <w:tcW w:w="3192" w:type="dxa"/>
          </w:tcPr>
          <w:p w:rsidR="00DA7786" w:rsidRDefault="00DA7786" w:rsidP="00DA7786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Reflecting On and Celebrating Learning</w:t>
            </w:r>
          </w:p>
        </w:tc>
      </w:tr>
      <w:tr w:rsidR="00DA7786" w:rsidTr="00DA7786">
        <w:tc>
          <w:tcPr>
            <w:tcW w:w="3192" w:type="dxa"/>
            <w:shd w:val="clear" w:color="auto" w:fill="D99594" w:themeFill="accent2" w:themeFillTint="99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Culture of Thinking and Learning</w:t>
            </w:r>
          </w:p>
        </w:tc>
        <w:tc>
          <w:tcPr>
            <w:tcW w:w="3192" w:type="dxa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Applying Learning</w:t>
            </w:r>
          </w:p>
        </w:tc>
        <w:tc>
          <w:tcPr>
            <w:tcW w:w="3192" w:type="dxa"/>
            <w:shd w:val="clear" w:color="auto" w:fill="D99594" w:themeFill="accent2" w:themeFillTint="99"/>
          </w:tcPr>
          <w:p w:rsidR="00DA7786" w:rsidRDefault="00DA7786" w:rsidP="003F4CD9">
            <w:pPr>
              <w:pStyle w:val="ListParagraph"/>
              <w:ind w:left="0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Engagement and Enjoyment of Learning</w:t>
            </w:r>
          </w:p>
        </w:tc>
      </w:tr>
    </w:tbl>
    <w:tbl>
      <w:tblPr>
        <w:tblW w:w="8844" w:type="dxa"/>
        <w:tblInd w:w="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4"/>
      </w:tblGrid>
      <w:tr w:rsidR="00DA7786" w:rsidTr="00DA7786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8844" w:type="dxa"/>
          </w:tcPr>
          <w:p w:rsidR="00DA7786" w:rsidRDefault="00DA7786" w:rsidP="00DA7786">
            <w:pPr>
              <w:pStyle w:val="ListParagraph"/>
              <w:ind w:left="72"/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Professional Practice</w:t>
            </w:r>
          </w:p>
          <w:p w:rsidR="00DA7786" w:rsidRDefault="00DA7786" w:rsidP="00DA7786">
            <w:pPr>
              <w:pStyle w:val="ListParagraph"/>
              <w:ind w:left="72"/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(effective professional practices that are not directly related to instruction, looking beyond the classroom)</w:t>
            </w:r>
          </w:p>
        </w:tc>
      </w:tr>
    </w:tbl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Cornerstones are in red and these are effective teacher practices that you should see in all classrooms.  </w:t>
      </w:r>
      <w:proofErr w:type="gramStart"/>
      <w:r>
        <w:rPr>
          <w:rFonts w:ascii="Comic Sans MS" w:hAnsi="Comic Sans MS"/>
          <w:sz w:val="28"/>
        </w:rPr>
        <w:t>Always included in teacher evaluation.</w:t>
      </w:r>
      <w:proofErr w:type="gramEnd"/>
      <w:r>
        <w:rPr>
          <w:rFonts w:ascii="Comic Sans MS" w:hAnsi="Comic Sans MS"/>
          <w:sz w:val="28"/>
        </w:rPr>
        <w:t xml:space="preserve">  </w:t>
      </w: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The other 5 are design and delivery. </w:t>
      </w:r>
      <w:proofErr w:type="gramStart"/>
      <w:r>
        <w:rPr>
          <w:rFonts w:ascii="Comic Sans MS" w:hAnsi="Comic Sans MS"/>
          <w:sz w:val="28"/>
        </w:rPr>
        <w:t>5 episodes of good instruction.</w:t>
      </w:r>
      <w:proofErr w:type="gramEnd"/>
      <w:r>
        <w:rPr>
          <w:rFonts w:ascii="Comic Sans MS" w:hAnsi="Comic Sans MS"/>
          <w:sz w:val="28"/>
        </w:rPr>
        <w:t xml:space="preserve">  Insures observer and teacher are on the same page.  </w:t>
      </w: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There are essential questions that go in each square that start with, “How do you…?”  In the 4 corners it always focuses on LEARNING of both teacher and student.  </w:t>
      </w: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Every dimension has “look </w:t>
      </w:r>
      <w:proofErr w:type="spellStart"/>
      <w:r>
        <w:rPr>
          <w:rFonts w:ascii="Comic Sans MS" w:hAnsi="Comic Sans MS"/>
          <w:sz w:val="28"/>
        </w:rPr>
        <w:t>fors</w:t>
      </w:r>
      <w:proofErr w:type="spellEnd"/>
      <w:r>
        <w:rPr>
          <w:rFonts w:ascii="Comic Sans MS" w:hAnsi="Comic Sans MS"/>
          <w:sz w:val="28"/>
        </w:rPr>
        <w:t>” or indicators.</w:t>
      </w: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There are indicators that involve students.  </w:t>
      </w:r>
      <w:proofErr w:type="gramStart"/>
      <w:r>
        <w:rPr>
          <w:rFonts w:ascii="Comic Sans MS" w:hAnsi="Comic Sans MS"/>
          <w:sz w:val="28"/>
        </w:rPr>
        <w:t>Impact on student learning.</w:t>
      </w:r>
      <w:proofErr w:type="gramEnd"/>
      <w:r>
        <w:rPr>
          <w:rFonts w:ascii="Comic Sans MS" w:hAnsi="Comic Sans MS"/>
          <w:sz w:val="28"/>
        </w:rPr>
        <w:t xml:space="preserve">    What are the students doing?</w:t>
      </w: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</w:p>
    <w:p w:rsidR="00B25F52" w:rsidRDefault="00B25F52" w:rsidP="003F4CD9">
      <w:pPr>
        <w:pStyle w:val="ListParagraph"/>
        <w:rPr>
          <w:rFonts w:ascii="Comic Sans MS" w:hAnsi="Comic Sans MS"/>
          <w:sz w:val="28"/>
        </w:rPr>
      </w:pP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bookmarkStart w:id="0" w:name="_GoBack"/>
      <w:bookmarkEnd w:id="0"/>
      <w:r>
        <w:rPr>
          <w:rFonts w:ascii="Comic Sans MS" w:hAnsi="Comic Sans MS"/>
          <w:sz w:val="28"/>
        </w:rPr>
        <w:lastRenderedPageBreak/>
        <w:t>4 Ps for effective feedback:</w:t>
      </w:r>
    </w:p>
    <w:p w:rsidR="00DA7786" w:rsidRDefault="00DA7786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>provide</w:t>
      </w:r>
      <w:proofErr w:type="gramEnd"/>
      <w:r>
        <w:rPr>
          <w:rFonts w:ascii="Comic Sans MS" w:hAnsi="Comic Sans MS"/>
          <w:sz w:val="28"/>
        </w:rPr>
        <w:t xml:space="preserve"> evidence</w:t>
      </w:r>
    </w:p>
    <w:p w:rsidR="00B25F52" w:rsidRDefault="00B25F52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>praise</w:t>
      </w:r>
      <w:proofErr w:type="gramEnd"/>
    </w:p>
    <w:p w:rsidR="00B25F52" w:rsidRDefault="00B25F52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>pose</w:t>
      </w:r>
      <w:proofErr w:type="gramEnd"/>
      <w:r>
        <w:rPr>
          <w:rFonts w:ascii="Comic Sans MS" w:hAnsi="Comic Sans MS"/>
          <w:sz w:val="28"/>
        </w:rPr>
        <w:t xml:space="preserve"> questions</w:t>
      </w:r>
    </w:p>
    <w:p w:rsidR="00B25F52" w:rsidRPr="003644E9" w:rsidRDefault="00B25F52" w:rsidP="003F4CD9">
      <w:pPr>
        <w:pStyle w:val="ListParagrap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</w:r>
      <w:proofErr w:type="gramStart"/>
      <w:r>
        <w:rPr>
          <w:rFonts w:ascii="Comic Sans MS" w:hAnsi="Comic Sans MS"/>
          <w:sz w:val="28"/>
        </w:rPr>
        <w:t>propose</w:t>
      </w:r>
      <w:proofErr w:type="gramEnd"/>
      <w:r>
        <w:rPr>
          <w:rFonts w:ascii="Comic Sans MS" w:hAnsi="Comic Sans MS"/>
          <w:sz w:val="28"/>
        </w:rPr>
        <w:t xml:space="preserve"> </w:t>
      </w:r>
    </w:p>
    <w:sectPr w:rsidR="00B25F52" w:rsidRPr="00364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22D16"/>
    <w:multiLevelType w:val="hybridMultilevel"/>
    <w:tmpl w:val="BF0CB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07CFA"/>
    <w:multiLevelType w:val="hybridMultilevel"/>
    <w:tmpl w:val="E3BA1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BC2"/>
    <w:rsid w:val="001D52D1"/>
    <w:rsid w:val="00361337"/>
    <w:rsid w:val="003644E9"/>
    <w:rsid w:val="003F4CD9"/>
    <w:rsid w:val="00655474"/>
    <w:rsid w:val="008470CF"/>
    <w:rsid w:val="00967BC2"/>
    <w:rsid w:val="00B25F52"/>
    <w:rsid w:val="00B973CF"/>
    <w:rsid w:val="00C87A07"/>
    <w:rsid w:val="00DA7786"/>
    <w:rsid w:val="00EE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CD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E3C30"/>
    <w:rPr>
      <w:color w:val="0000FF"/>
      <w:u w:val="single"/>
    </w:rPr>
  </w:style>
  <w:style w:type="table" w:styleId="TableGrid">
    <w:name w:val="Table Grid"/>
    <w:basedOn w:val="TableNormal"/>
    <w:uiPriority w:val="59"/>
    <w:rsid w:val="00DA7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CD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E3C30"/>
    <w:rPr>
      <w:color w:val="0000FF"/>
      <w:u w:val="single"/>
    </w:rPr>
  </w:style>
  <w:style w:type="table" w:styleId="TableGrid">
    <w:name w:val="Table Grid"/>
    <w:basedOn w:val="TableNormal"/>
    <w:uiPriority w:val="59"/>
    <w:rsid w:val="00DA7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nielsongroup.org/article.aspx?page=frameworkforteach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8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Evans</dc:creator>
  <cp:lastModifiedBy>Susan Evans</cp:lastModifiedBy>
  <cp:revision>6</cp:revision>
  <dcterms:created xsi:type="dcterms:W3CDTF">2013-10-29T14:23:00Z</dcterms:created>
  <dcterms:modified xsi:type="dcterms:W3CDTF">2013-10-29T19:46:00Z</dcterms:modified>
</cp:coreProperties>
</file>